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9B73C">
      <w:pPr>
        <w:pStyle w:val="2"/>
        <w:shd w:val="clear" w:color="auto" w:fill="FFFFFF"/>
        <w:spacing w:before="0" w:beforeAutospacing="0" w:after="0" w:afterAutospacing="0" w:line="600" w:lineRule="exact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hint="default" w:ascii="黑体" w:hAnsi="黑体" w:eastAsia="黑体" w:cs="黑体"/>
          <w:sz w:val="32"/>
          <w:szCs w:val="40"/>
          <w:lang w:val="en-US" w:eastAsia="zh-CN"/>
        </w:rPr>
        <w:t>2</w:t>
      </w:r>
    </w:p>
    <w:p w14:paraId="08746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第二届全国大学生职业规划大赛</w:t>
      </w:r>
    </w:p>
    <w:p w14:paraId="55268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19" w:afterLines="50"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就业赛道方案</w:t>
      </w:r>
    </w:p>
    <w:p w14:paraId="0A9E9395"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一、比赛内容</w:t>
      </w:r>
    </w:p>
    <w:p w14:paraId="14B36FA5"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考察学生求职实战能力，对照目标职业及岗位要求，个人综合素质和专业能力等方面的契合度，个人发展路径与就业市场需求的适应度。参赛学生可获得岗位录用意向。</w:t>
      </w:r>
    </w:p>
    <w:p w14:paraId="66748FC0"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二、参赛组别和对象</w:t>
      </w:r>
    </w:p>
    <w:p w14:paraId="4219505F"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参赛对象为普通高等学校全日制本高年级在校学生（本科三、四年级、部分专业五年级学生，不含已通过推免等确定升学的毕业年级学生），以及全体研究生。</w:t>
      </w:r>
    </w:p>
    <w:p w14:paraId="08335DB9"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三、参赛材料要求</w:t>
      </w:r>
    </w:p>
    <w:p w14:paraId="6DC22682"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选手在大赛平台提交以下参赛材料：</w:t>
      </w:r>
    </w:p>
    <w:p w14:paraId="4FF321DF"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（一）求职简历（PDF格式）。</w:t>
      </w:r>
    </w:p>
    <w:p w14:paraId="0DABBA22"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（二）求职综合展示（PPT格式，不超过50MB；可加入视频）。</w:t>
      </w:r>
    </w:p>
    <w:p w14:paraId="1EA0BEB1"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（三）辅助证明材料，包括实践、实习、获奖等证明材料（PDF格式，整合为单个文件，不超过50MB）。</w:t>
      </w:r>
    </w:p>
    <w:p w14:paraId="480E00F8"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四、比赛环节</w:t>
      </w:r>
    </w:p>
    <w:p w14:paraId="56AC7CE0"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hint="default" w:ascii="仿宋_GB2312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就业赛道设主题陈述、综合面试环节。</w:t>
      </w:r>
    </w:p>
    <w:p w14:paraId="7BFDB5A4"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（一）主题陈述（6分钟）：选手结合求职综合展示PPT，陈述个人求职意向和职业准备情况。</w:t>
      </w:r>
    </w:p>
    <w:p w14:paraId="5AFB9EE0"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（二）综合面试（6分钟）：评委提出真实工作场景中可能遇到的问题，选手提出解决方案；评委结合选手陈述自由提问。</w:t>
      </w:r>
    </w:p>
    <w:p w14:paraId="7FA9F5F9"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五、评审标准</w:t>
      </w:r>
    </w:p>
    <w:tbl>
      <w:tblPr>
        <w:tblStyle w:val="4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 w14:paraId="4DC8A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vAlign w:val="center"/>
          </w:tcPr>
          <w:p w14:paraId="107DBCD9"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指标</w:t>
            </w:r>
          </w:p>
        </w:tc>
        <w:tc>
          <w:tcPr>
            <w:tcW w:w="3676" w:type="pct"/>
            <w:vAlign w:val="center"/>
          </w:tcPr>
          <w:p w14:paraId="4A4873C7"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说明</w:t>
            </w:r>
          </w:p>
        </w:tc>
        <w:tc>
          <w:tcPr>
            <w:tcW w:w="471" w:type="pct"/>
            <w:vAlign w:val="center"/>
          </w:tcPr>
          <w:p w14:paraId="350D737B"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分值</w:t>
            </w:r>
          </w:p>
        </w:tc>
      </w:tr>
      <w:tr w14:paraId="1A462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852" w:type="pct"/>
            <w:vMerge w:val="restart"/>
            <w:vAlign w:val="center"/>
          </w:tcPr>
          <w:p w14:paraId="3BB8ED7B"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职业</w:t>
            </w:r>
          </w:p>
          <w:p w14:paraId="68E2EE03"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目标</w:t>
            </w:r>
          </w:p>
        </w:tc>
        <w:tc>
          <w:tcPr>
            <w:tcW w:w="3676" w:type="pct"/>
            <w:vAlign w:val="center"/>
          </w:tcPr>
          <w:p w14:paraId="503FD64C"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Align w:val="center"/>
          </w:tcPr>
          <w:p w14:paraId="1B1C66D6"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hint="default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</w:tr>
      <w:tr w14:paraId="662C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4F309963"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3676" w:type="pct"/>
            <w:vAlign w:val="center"/>
          </w:tcPr>
          <w:p w14:paraId="3AB55324"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准确把握目标职业的任职要求、工作内容、基本流程和发展前景等</w:t>
            </w:r>
          </w:p>
        </w:tc>
        <w:tc>
          <w:tcPr>
            <w:tcW w:w="471" w:type="pct"/>
            <w:vAlign w:val="center"/>
          </w:tcPr>
          <w:p w14:paraId="184B8348"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hint="default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</w:tr>
      <w:tr w14:paraId="72907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055B2F48"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岗位</w:t>
            </w:r>
          </w:p>
          <w:p w14:paraId="6446491A"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胜任力</w:t>
            </w:r>
          </w:p>
        </w:tc>
        <w:tc>
          <w:tcPr>
            <w:tcW w:w="3676" w:type="pct"/>
            <w:vAlign w:val="center"/>
          </w:tcPr>
          <w:p w14:paraId="61797FF3"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vAlign w:val="center"/>
          </w:tcPr>
          <w:p w14:paraId="41A3A943"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hint="default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40</w:t>
            </w:r>
          </w:p>
        </w:tc>
      </w:tr>
      <w:tr w14:paraId="4C64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3CB4718E"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3676" w:type="pct"/>
            <w:vAlign w:val="center"/>
          </w:tcPr>
          <w:p w14:paraId="06BD5383"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具备目标岗位所需的专业知识和技能要求，相关实习实践经历丰富，具备解决实际问题的专业能力</w:t>
            </w:r>
          </w:p>
        </w:tc>
        <w:tc>
          <w:tcPr>
            <w:tcW w:w="471" w:type="pct"/>
            <w:vAlign w:val="center"/>
          </w:tcPr>
          <w:p w14:paraId="062A05A5"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hint="default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40</w:t>
            </w:r>
          </w:p>
        </w:tc>
      </w:tr>
      <w:tr w14:paraId="66C7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  <w:jc w:val="center"/>
        </w:trPr>
        <w:tc>
          <w:tcPr>
            <w:tcW w:w="852" w:type="pct"/>
            <w:vAlign w:val="center"/>
          </w:tcPr>
          <w:p w14:paraId="40BE29C7"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发展</w:t>
            </w:r>
          </w:p>
          <w:p w14:paraId="6D0CB57F"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潜力</w:t>
            </w:r>
          </w:p>
        </w:tc>
        <w:tc>
          <w:tcPr>
            <w:tcW w:w="3676" w:type="pct"/>
            <w:vAlign w:val="center"/>
          </w:tcPr>
          <w:p w14:paraId="5CE6BDD4"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具备持续学习能力、创新精神和应对不确定性挑战的潜质，适应未来职业发展要求；符合就业市场需求，现场获得用人单位提供的录用意向</w:t>
            </w:r>
          </w:p>
        </w:tc>
        <w:tc>
          <w:tcPr>
            <w:tcW w:w="471" w:type="pct"/>
            <w:vAlign w:val="center"/>
          </w:tcPr>
          <w:p w14:paraId="25FF981F"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hint="default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10</w:t>
            </w:r>
          </w:p>
        </w:tc>
      </w:tr>
    </w:tbl>
    <w:p w14:paraId="073F69BC"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六、奖项设置</w:t>
      </w:r>
    </w:p>
    <w:p w14:paraId="5E4119F1"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就业赛道设置金奖、银奖、铜奖，以及优秀指导教师奖等奖项。</w:t>
      </w:r>
    </w:p>
    <w:p w14:paraId="440EEF1A">
      <w:pPr>
        <w:pStyle w:val="2"/>
        <w:shd w:val="clear" w:color="auto" w:fill="FFFFFF"/>
        <w:spacing w:before="0" w:beforeAutospacing="0" w:after="0" w:afterAutospacing="0" w:line="600" w:lineRule="exact"/>
        <w:rPr>
          <w:rFonts w:hint="default" w:ascii="仿宋_GB2312" w:eastAsia="仿宋_GB2312"/>
          <w:bCs/>
          <w:color w:val="000000"/>
          <w:sz w:val="32"/>
          <w:szCs w:val="32"/>
          <w:lang w:val="en-US" w:eastAsia="zh-CN"/>
        </w:rPr>
      </w:pPr>
    </w:p>
    <w:p w14:paraId="77F081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NDNlYmIzNTI4NzE4ZDg2N2JhZDQ0ZjhkMTI2MDIifQ=="/>
  </w:docVars>
  <w:rsids>
    <w:rsidRoot w:val="00000000"/>
    <w:rsid w:val="284B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2024-10-24T12:43:28Z</dcterms:created>
  <dc:creator>华南农业大学就业指导中心助理团</dc:creator>
  <cp:lastModifiedBy>华南农业大学就业指导中心助理团</cp:lastModifiedBy>
  <dcterms:modified xsi:type="dcterms:W3CDTF">2024-10-24T12:43:42Z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0794A276046643928AF88D1D38A581F2_12</vt:lpwstr>
  </property>
</Properties>
</file>